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BB6" w:rsidRDefault="000C010F">
      <w:pPr>
        <w:spacing w:line="300" w:lineRule="auto"/>
        <w:jc w:val="center"/>
        <w:rPr>
          <w:color w:val="000000"/>
          <w:sz w:val="28"/>
          <w:szCs w:val="28"/>
        </w:rPr>
      </w:pPr>
      <w:r>
        <w:rPr>
          <w:color w:val="000000"/>
          <w:sz w:val="28"/>
          <w:szCs w:val="28"/>
        </w:rPr>
        <w:t>Fu Jen Catholic University</w:t>
      </w:r>
    </w:p>
    <w:p w:rsidR="003E4BB6" w:rsidRDefault="000C010F">
      <w:pPr>
        <w:spacing w:line="300" w:lineRule="auto"/>
        <w:jc w:val="center"/>
        <w:rPr>
          <w:color w:val="000000"/>
          <w:sz w:val="28"/>
          <w:szCs w:val="28"/>
        </w:rPr>
      </w:pPr>
      <w:r>
        <w:rPr>
          <w:color w:val="000000"/>
          <w:sz w:val="28"/>
          <w:szCs w:val="28"/>
        </w:rPr>
        <w:t>Regulations Governing the Overseas Conference Travel Grant for Full-Time Instructors and Research Fellows</w:t>
      </w:r>
    </w:p>
    <w:p w:rsidR="003E4BB6" w:rsidRDefault="000C010F">
      <w:pPr>
        <w:spacing w:line="300" w:lineRule="auto"/>
        <w:jc w:val="right"/>
        <w:rPr>
          <w:color w:val="000000"/>
          <w:sz w:val="16"/>
          <w:szCs w:val="16"/>
        </w:rPr>
      </w:pPr>
      <w:r>
        <w:rPr>
          <w:color w:val="000000"/>
          <w:sz w:val="16"/>
          <w:szCs w:val="16"/>
        </w:rPr>
        <w:t>Passed at the Fifth Meeting of the Senate for the 1998-1999 Academic Year on January 21, 1999</w:t>
      </w:r>
    </w:p>
    <w:p w:rsidR="003E4BB6" w:rsidRDefault="000C010F">
      <w:pPr>
        <w:spacing w:line="300" w:lineRule="auto"/>
        <w:jc w:val="right"/>
        <w:rPr>
          <w:color w:val="000000"/>
          <w:sz w:val="16"/>
          <w:szCs w:val="16"/>
        </w:rPr>
      </w:pPr>
      <w:r>
        <w:rPr>
          <w:color w:val="000000"/>
          <w:sz w:val="16"/>
          <w:szCs w:val="16"/>
        </w:rPr>
        <w:t>Amended at the Third Meeting of the Executive Council for the 1999-2000 Academic year on November 11, 1999</w:t>
      </w:r>
    </w:p>
    <w:p w:rsidR="003E4BB6" w:rsidRDefault="000C010F">
      <w:pPr>
        <w:spacing w:line="300" w:lineRule="auto"/>
        <w:ind w:hanging="283"/>
        <w:jc w:val="right"/>
        <w:rPr>
          <w:color w:val="000000"/>
          <w:sz w:val="16"/>
          <w:szCs w:val="16"/>
        </w:rPr>
      </w:pPr>
      <w:r>
        <w:rPr>
          <w:color w:val="000000"/>
          <w:sz w:val="16"/>
          <w:szCs w:val="16"/>
        </w:rPr>
        <w:t>Amended at the Eighth Extraordinar</w:t>
      </w:r>
      <w:r>
        <w:rPr>
          <w:color w:val="000000"/>
          <w:sz w:val="16"/>
          <w:szCs w:val="16"/>
        </w:rPr>
        <w:t>y Meeting of the Executive Council for the 2002-2003 Academic year on March 27, 2003</w:t>
      </w:r>
    </w:p>
    <w:p w:rsidR="003E4BB6" w:rsidRDefault="000C010F">
      <w:pPr>
        <w:spacing w:line="300" w:lineRule="auto"/>
        <w:jc w:val="right"/>
        <w:rPr>
          <w:color w:val="000000"/>
          <w:sz w:val="16"/>
          <w:szCs w:val="16"/>
        </w:rPr>
      </w:pPr>
      <w:r>
        <w:rPr>
          <w:color w:val="000000"/>
          <w:sz w:val="16"/>
          <w:szCs w:val="16"/>
        </w:rPr>
        <w:t>Amended at the Tenth Meeting of the Executive Council for the 2003-2004 Academic Year on July 14, 2004</w:t>
      </w:r>
    </w:p>
    <w:p w:rsidR="003E4BB6" w:rsidRDefault="000C010F">
      <w:pPr>
        <w:spacing w:line="300" w:lineRule="auto"/>
        <w:jc w:val="right"/>
        <w:rPr>
          <w:color w:val="000000"/>
          <w:sz w:val="16"/>
          <w:szCs w:val="16"/>
        </w:rPr>
      </w:pPr>
      <w:r>
        <w:rPr>
          <w:color w:val="000000"/>
          <w:sz w:val="16"/>
          <w:szCs w:val="16"/>
        </w:rPr>
        <w:t>Amended at the Second Meeting of the Executive Council for the 2004-</w:t>
      </w:r>
      <w:r>
        <w:rPr>
          <w:color w:val="000000"/>
          <w:sz w:val="16"/>
          <w:szCs w:val="16"/>
        </w:rPr>
        <w:t>2005 Academic Year on October 7, 2004</w:t>
      </w:r>
    </w:p>
    <w:p w:rsidR="003E4BB6" w:rsidRDefault="000C010F">
      <w:pPr>
        <w:spacing w:line="300" w:lineRule="auto"/>
        <w:jc w:val="right"/>
        <w:rPr>
          <w:color w:val="000000"/>
          <w:sz w:val="16"/>
          <w:szCs w:val="16"/>
        </w:rPr>
      </w:pPr>
      <w:r>
        <w:rPr>
          <w:color w:val="000000"/>
          <w:sz w:val="16"/>
          <w:szCs w:val="16"/>
        </w:rPr>
        <w:t>Amended at the Fourth Meeting of the Executive Council for the 2006-2007 Academic Year on December 7, 2006</w:t>
      </w:r>
    </w:p>
    <w:p w:rsidR="003E4BB6" w:rsidRDefault="000C010F">
      <w:pPr>
        <w:spacing w:line="300" w:lineRule="auto"/>
        <w:jc w:val="right"/>
        <w:rPr>
          <w:color w:val="000000"/>
          <w:sz w:val="16"/>
          <w:szCs w:val="16"/>
        </w:rPr>
      </w:pPr>
      <w:r>
        <w:rPr>
          <w:color w:val="000000"/>
          <w:sz w:val="16"/>
          <w:szCs w:val="16"/>
        </w:rPr>
        <w:t>Amended at the Fifth Meeting of the Executive Council for the 2007-2008 Academic Year on January 24, 2008</w:t>
      </w:r>
    </w:p>
    <w:p w:rsidR="003E4BB6" w:rsidRDefault="000C010F">
      <w:pPr>
        <w:spacing w:line="300" w:lineRule="auto"/>
        <w:jc w:val="right"/>
        <w:rPr>
          <w:color w:val="000000"/>
          <w:sz w:val="16"/>
          <w:szCs w:val="16"/>
        </w:rPr>
      </w:pPr>
      <w:r>
        <w:rPr>
          <w:color w:val="000000"/>
          <w:sz w:val="16"/>
          <w:szCs w:val="16"/>
        </w:rPr>
        <w:t>Amended at the First Meeting of the Executive Council for the 2008-2009 Academic Year on September 18, 2008</w:t>
      </w:r>
    </w:p>
    <w:p w:rsidR="003E4BB6" w:rsidRDefault="000C010F">
      <w:pPr>
        <w:spacing w:line="300" w:lineRule="auto"/>
        <w:jc w:val="right"/>
        <w:rPr>
          <w:color w:val="000000"/>
          <w:sz w:val="16"/>
          <w:szCs w:val="16"/>
        </w:rPr>
      </w:pPr>
      <w:r>
        <w:rPr>
          <w:color w:val="000000"/>
          <w:sz w:val="16"/>
          <w:szCs w:val="16"/>
        </w:rPr>
        <w:t>Amended at the Seventh Meeting of the Executive Council for the 2009-2020 Academic Year on April 8, 2010</w:t>
      </w:r>
    </w:p>
    <w:p w:rsidR="003E4BB6" w:rsidRDefault="000C010F">
      <w:pPr>
        <w:spacing w:line="300" w:lineRule="auto"/>
        <w:jc w:val="right"/>
        <w:rPr>
          <w:color w:val="000000"/>
          <w:sz w:val="16"/>
          <w:szCs w:val="16"/>
        </w:rPr>
      </w:pPr>
      <w:r>
        <w:rPr>
          <w:color w:val="000000"/>
          <w:sz w:val="16"/>
          <w:szCs w:val="16"/>
        </w:rPr>
        <w:t>Amended at the First Meeting of the Executi</w:t>
      </w:r>
      <w:r>
        <w:rPr>
          <w:color w:val="000000"/>
          <w:sz w:val="16"/>
          <w:szCs w:val="16"/>
        </w:rPr>
        <w:t>ve Council for the 2010-2011 Academic Year on September 9, 2010</w:t>
      </w:r>
    </w:p>
    <w:p w:rsidR="003E4BB6" w:rsidRDefault="000C010F">
      <w:pPr>
        <w:spacing w:line="300" w:lineRule="auto"/>
        <w:jc w:val="right"/>
        <w:rPr>
          <w:color w:val="000000"/>
          <w:sz w:val="16"/>
          <w:szCs w:val="16"/>
        </w:rPr>
      </w:pPr>
      <w:r>
        <w:rPr>
          <w:color w:val="000000"/>
          <w:sz w:val="16"/>
          <w:szCs w:val="16"/>
        </w:rPr>
        <w:t>Amended at the Fourth Meeting of the Executive Council for the 2010-2011 Academic Year on December 16, 2010</w:t>
      </w:r>
    </w:p>
    <w:p w:rsidR="003E4BB6" w:rsidRDefault="000C010F">
      <w:pPr>
        <w:spacing w:line="300" w:lineRule="auto"/>
        <w:jc w:val="right"/>
        <w:rPr>
          <w:color w:val="000000"/>
          <w:sz w:val="16"/>
          <w:szCs w:val="16"/>
        </w:rPr>
      </w:pPr>
      <w:r>
        <w:rPr>
          <w:color w:val="000000"/>
          <w:sz w:val="16"/>
          <w:szCs w:val="16"/>
        </w:rPr>
        <w:t>Amended at the Seventh Meeting of the Executive Council for the 2011-2012 Academic Y</w:t>
      </w:r>
      <w:r>
        <w:rPr>
          <w:color w:val="000000"/>
          <w:sz w:val="16"/>
          <w:szCs w:val="16"/>
        </w:rPr>
        <w:t>ear on April 12, 2012</w:t>
      </w:r>
    </w:p>
    <w:p w:rsidR="003E4BB6" w:rsidRDefault="000C010F">
      <w:pPr>
        <w:spacing w:line="300" w:lineRule="auto"/>
        <w:jc w:val="right"/>
        <w:rPr>
          <w:color w:val="000000"/>
          <w:sz w:val="16"/>
          <w:szCs w:val="16"/>
        </w:rPr>
      </w:pPr>
      <w:r>
        <w:rPr>
          <w:color w:val="000000"/>
          <w:sz w:val="16"/>
          <w:szCs w:val="16"/>
        </w:rPr>
        <w:t>Amended at the Seventh Meeting of the Executive Council for the 2013-2014 Academic Year on April 10, 2014</w:t>
      </w:r>
    </w:p>
    <w:p w:rsidR="003E4BB6" w:rsidRDefault="000C010F">
      <w:pPr>
        <w:spacing w:line="300" w:lineRule="auto"/>
        <w:jc w:val="right"/>
        <w:rPr>
          <w:color w:val="000000"/>
          <w:sz w:val="16"/>
          <w:szCs w:val="16"/>
        </w:rPr>
      </w:pPr>
      <w:r>
        <w:rPr>
          <w:color w:val="000000"/>
          <w:sz w:val="16"/>
          <w:szCs w:val="16"/>
        </w:rPr>
        <w:t>Amended at the Fifth Meeting of the Executive Council for the 2016-2017 Academic Year on July 6, 2017</w:t>
      </w:r>
    </w:p>
    <w:p w:rsidR="003E4BB6" w:rsidRDefault="003E4BB6" w:rsidP="000C010F">
      <w:pPr>
        <w:spacing w:before="120" w:after="120" w:line="300" w:lineRule="auto"/>
        <w:rPr>
          <w:rFonts w:hint="eastAsia"/>
        </w:rPr>
      </w:pPr>
    </w:p>
    <w:p w:rsidR="003E4BB6" w:rsidRDefault="000C010F">
      <w:pPr>
        <w:spacing w:before="120" w:after="120" w:line="300" w:lineRule="auto"/>
        <w:ind w:left="-425"/>
      </w:pPr>
      <w:r>
        <w:t>Article 1</w:t>
      </w:r>
    </w:p>
    <w:p w:rsidR="003E4BB6" w:rsidRDefault="000C010F">
      <w:pPr>
        <w:spacing w:before="120" w:after="120" w:line="300" w:lineRule="auto"/>
        <w:ind w:left="-425"/>
      </w:pPr>
      <w:r>
        <w:t>The University formulated the Regulations in order to encourage full-time instructors (including contracted instructors, but not jointly appointed cli</w:t>
      </w:r>
      <w:r>
        <w:t>nical instructors) and research fellows to attend international academic conferences overseas, raise the academic and international standing of the University through enhanced scholarship on campus, and stimulate greater international academic collaboratio</w:t>
      </w:r>
      <w:r>
        <w:t>n.</w:t>
      </w:r>
    </w:p>
    <w:p w:rsidR="003E4BB6" w:rsidRDefault="003E4BB6" w:rsidP="000C010F">
      <w:pPr>
        <w:spacing w:before="120" w:after="120" w:line="300" w:lineRule="auto"/>
        <w:ind w:left="415"/>
        <w:rPr>
          <w:rFonts w:hint="eastAsia"/>
          <w:u w:val="single"/>
        </w:rPr>
      </w:pPr>
    </w:p>
    <w:p w:rsidR="003E4BB6" w:rsidRDefault="000C010F">
      <w:pPr>
        <w:spacing w:before="120" w:after="120" w:line="300" w:lineRule="auto"/>
        <w:ind w:left="-425"/>
      </w:pPr>
      <w:r>
        <w:t>Article 2</w:t>
      </w:r>
    </w:p>
    <w:p w:rsidR="003E4BB6" w:rsidRDefault="000C010F">
      <w:pPr>
        <w:spacing w:before="120" w:after="120" w:line="300" w:lineRule="auto"/>
        <w:ind w:left="-425"/>
      </w:pPr>
      <w:r>
        <w:t>The personnel described in the preceding article must visit the website of the Center for Taiwan Academic Research Ethics Education, enroll in and complete the Academi</w:t>
      </w:r>
      <w:r>
        <w:t xml:space="preserve">c Ethics Course, and then present proof that they completed the course and passed the examination, as stipulated in Article 2 of Fu Jen Catholic University Regulations Governing the Management of Academic Ethics. </w:t>
      </w:r>
    </w:p>
    <w:p w:rsidR="003E4BB6" w:rsidRDefault="003E4BB6">
      <w:pPr>
        <w:spacing w:before="120" w:after="120" w:line="300" w:lineRule="auto"/>
        <w:ind w:left="-425"/>
      </w:pPr>
    </w:p>
    <w:p w:rsidR="003E4BB6" w:rsidRDefault="000C010F">
      <w:pPr>
        <w:spacing w:line="300" w:lineRule="auto"/>
        <w:ind w:hanging="425"/>
      </w:pPr>
      <w:r>
        <w:t>Article 3: Eligibility</w:t>
      </w:r>
    </w:p>
    <w:p w:rsidR="003E4BB6" w:rsidRDefault="000C010F">
      <w:pPr>
        <w:numPr>
          <w:ilvl w:val="0"/>
          <w:numId w:val="1"/>
        </w:numPr>
        <w:pBdr>
          <w:top w:val="nil"/>
          <w:left w:val="nil"/>
          <w:bottom w:val="nil"/>
          <w:right w:val="nil"/>
          <w:between w:val="nil"/>
        </w:pBdr>
        <w:spacing w:line="300" w:lineRule="auto"/>
        <w:rPr>
          <w:color w:val="000000"/>
        </w:rPr>
      </w:pPr>
      <w:r>
        <w:rPr>
          <w:rFonts w:eastAsia="Times New Roman"/>
          <w:color w:val="000000"/>
        </w:rPr>
        <w:t>An applicant must be a full-time instructor or research fellow who will engage in one of the following activities while listing their institutional affiliation with Fu Jen Catholic University: present a conference paper; accept an invitation to host, judge</w:t>
      </w:r>
      <w:r>
        <w:rPr>
          <w:rFonts w:eastAsia="Times New Roman"/>
          <w:color w:val="000000"/>
        </w:rPr>
        <w:t>, or lecture; or be sent by the University overseas to do one of the activities above.</w:t>
      </w:r>
    </w:p>
    <w:p w:rsidR="003E4BB6" w:rsidRDefault="000C010F">
      <w:pPr>
        <w:numPr>
          <w:ilvl w:val="0"/>
          <w:numId w:val="1"/>
        </w:numPr>
        <w:pBdr>
          <w:top w:val="nil"/>
          <w:left w:val="nil"/>
          <w:bottom w:val="nil"/>
          <w:right w:val="nil"/>
          <w:between w:val="nil"/>
        </w:pBdr>
        <w:spacing w:line="300" w:lineRule="auto"/>
        <w:rPr>
          <w:color w:val="000000"/>
        </w:rPr>
      </w:pPr>
      <w:r>
        <w:rPr>
          <w:rFonts w:eastAsia="Times New Roman"/>
          <w:color w:val="000000"/>
        </w:rPr>
        <w:t>An applicant must first apply for funding from the Ministry of Science and Technology (MOST), the Ministry of Education (MOE), a foundation, or a another public or priva</w:t>
      </w:r>
      <w:r>
        <w:rPr>
          <w:rFonts w:eastAsia="Times New Roman"/>
          <w:color w:val="000000"/>
        </w:rPr>
        <w:t>te agency, then apply for the Travel Grant online through the website of the Office of Research and Development twenty days before the activity.</w:t>
      </w:r>
    </w:p>
    <w:p w:rsidR="003E4BB6" w:rsidRDefault="003E4BB6">
      <w:pPr>
        <w:pBdr>
          <w:top w:val="nil"/>
          <w:left w:val="nil"/>
          <w:bottom w:val="nil"/>
          <w:right w:val="nil"/>
          <w:between w:val="nil"/>
        </w:pBdr>
        <w:spacing w:line="300" w:lineRule="auto"/>
        <w:ind w:left="360" w:hanging="480"/>
        <w:rPr>
          <w:color w:val="000000"/>
        </w:rPr>
      </w:pPr>
    </w:p>
    <w:p w:rsidR="003E4BB6" w:rsidRDefault="000C010F">
      <w:pPr>
        <w:spacing w:line="300" w:lineRule="auto"/>
        <w:ind w:hanging="283"/>
      </w:pPr>
      <w:bookmarkStart w:id="0" w:name="_30j0zll" w:colFirst="0" w:colLast="0"/>
      <w:bookmarkEnd w:id="0"/>
      <w:r>
        <w:lastRenderedPageBreak/>
        <w:t>Article 4: Funding Principles</w:t>
      </w:r>
    </w:p>
    <w:p w:rsidR="003E4BB6" w:rsidRDefault="000C010F">
      <w:pPr>
        <w:numPr>
          <w:ilvl w:val="0"/>
          <w:numId w:val="2"/>
        </w:numPr>
        <w:pBdr>
          <w:top w:val="nil"/>
          <w:left w:val="nil"/>
          <w:bottom w:val="nil"/>
          <w:right w:val="nil"/>
          <w:between w:val="nil"/>
        </w:pBdr>
        <w:spacing w:line="300" w:lineRule="auto"/>
        <w:rPr>
          <w:color w:val="000000"/>
        </w:rPr>
      </w:pPr>
      <w:r>
        <w:rPr>
          <w:rFonts w:eastAsia="Times New Roman"/>
          <w:color w:val="000000"/>
        </w:rPr>
        <w:t>If the paper was co-authored, only one author will receive the Travel Grant. In principle, a single applicant may apply for the Travel Grant once per academic year. A maxi</w:t>
      </w:r>
      <w:r>
        <w:rPr>
          <w:rFonts w:eastAsia="Times New Roman"/>
          <w:color w:val="000000"/>
        </w:rPr>
        <w:t>mum amount of NT$60,000 may be awarded in Travel Grants.</w:t>
      </w:r>
    </w:p>
    <w:p w:rsidR="003E4BB6" w:rsidRDefault="000C010F">
      <w:pPr>
        <w:numPr>
          <w:ilvl w:val="0"/>
          <w:numId w:val="2"/>
        </w:numPr>
        <w:pBdr>
          <w:top w:val="nil"/>
          <w:left w:val="nil"/>
          <w:bottom w:val="nil"/>
          <w:right w:val="nil"/>
          <w:between w:val="nil"/>
        </w:pBdr>
        <w:spacing w:line="300" w:lineRule="auto"/>
        <w:rPr>
          <w:color w:val="000000"/>
        </w:rPr>
      </w:pPr>
      <w:r>
        <w:rPr>
          <w:rFonts w:eastAsia="Times New Roman"/>
          <w:color w:val="000000"/>
        </w:rPr>
        <w:t xml:space="preserve">If an applicant has already received external funding from a public or private organization outside the University, the Travel Grant may be used towards covering expenses not covered by the external </w:t>
      </w:r>
      <w:r>
        <w:rPr>
          <w:rFonts w:eastAsia="Times New Roman"/>
          <w:color w:val="000000"/>
        </w:rPr>
        <w:t>funding, such as the registration fee, airfare, and living expenses.</w:t>
      </w:r>
    </w:p>
    <w:p w:rsidR="003E4BB6" w:rsidRDefault="000C010F">
      <w:pPr>
        <w:numPr>
          <w:ilvl w:val="0"/>
          <w:numId w:val="2"/>
        </w:numPr>
        <w:pBdr>
          <w:top w:val="nil"/>
          <w:left w:val="nil"/>
          <w:bottom w:val="nil"/>
          <w:right w:val="nil"/>
          <w:between w:val="nil"/>
        </w:pBdr>
        <w:spacing w:line="300" w:lineRule="auto"/>
        <w:rPr>
          <w:color w:val="000000"/>
        </w:rPr>
      </w:pPr>
      <w:r>
        <w:rPr>
          <w:rFonts w:eastAsia="Times New Roman"/>
          <w:color w:val="000000"/>
        </w:rPr>
        <w:t>If an applicant has not received funding from a public or private organization outside the University, the Travel Grant may be used towards covering the registration fee, airfare, and liv</w:t>
      </w:r>
      <w:r>
        <w:rPr>
          <w:rFonts w:eastAsia="Times New Roman"/>
          <w:color w:val="000000"/>
        </w:rPr>
        <w:t>ing expenses, after a consideration of the applicant’s mission or type of presentation.</w:t>
      </w:r>
    </w:p>
    <w:p w:rsidR="003E4BB6" w:rsidRDefault="000C010F">
      <w:pPr>
        <w:numPr>
          <w:ilvl w:val="0"/>
          <w:numId w:val="2"/>
        </w:numPr>
        <w:pBdr>
          <w:top w:val="nil"/>
          <w:left w:val="nil"/>
          <w:bottom w:val="nil"/>
          <w:right w:val="nil"/>
          <w:between w:val="nil"/>
        </w:pBdr>
        <w:spacing w:line="300" w:lineRule="auto"/>
        <w:rPr>
          <w:color w:val="000000"/>
        </w:rPr>
      </w:pPr>
      <w:r>
        <w:rPr>
          <w:rFonts w:eastAsia="Times New Roman"/>
          <w:color w:val="000000"/>
        </w:rPr>
        <w:t>Categories covered by the Travel Grant:</w:t>
      </w:r>
    </w:p>
    <w:p w:rsidR="003E4BB6" w:rsidRDefault="000C010F">
      <w:pPr>
        <w:numPr>
          <w:ilvl w:val="0"/>
          <w:numId w:val="3"/>
        </w:numPr>
        <w:pBdr>
          <w:top w:val="nil"/>
          <w:left w:val="nil"/>
          <w:bottom w:val="nil"/>
          <w:right w:val="nil"/>
          <w:between w:val="nil"/>
        </w:pBdr>
        <w:spacing w:line="300" w:lineRule="auto"/>
        <w:rPr>
          <w:color w:val="000000"/>
        </w:rPr>
      </w:pPr>
      <w:r>
        <w:rPr>
          <w:rFonts w:eastAsia="Times New Roman"/>
          <w:color w:val="000000"/>
        </w:rPr>
        <w:t xml:space="preserve">Airfare: based on MOST Guidelines Governing Travel Subsidies for Domestic Scholars to Present at Conferences Abroad. The Travel </w:t>
      </w:r>
      <w:r>
        <w:rPr>
          <w:rFonts w:eastAsia="Times New Roman"/>
          <w:color w:val="000000"/>
        </w:rPr>
        <w:t>Grant may cover roundtrip economy class tickets for the most direct route between Taiwan and the destination. The applicant must provide receipts when claiming the Travel Grant.</w:t>
      </w:r>
    </w:p>
    <w:p w:rsidR="003E4BB6" w:rsidRDefault="000C010F">
      <w:pPr>
        <w:numPr>
          <w:ilvl w:val="0"/>
          <w:numId w:val="3"/>
        </w:numPr>
        <w:pBdr>
          <w:top w:val="nil"/>
          <w:left w:val="nil"/>
          <w:bottom w:val="nil"/>
          <w:right w:val="nil"/>
          <w:between w:val="nil"/>
        </w:pBdr>
        <w:spacing w:line="300" w:lineRule="auto"/>
        <w:rPr>
          <w:color w:val="000000"/>
        </w:rPr>
      </w:pPr>
      <w:r>
        <w:rPr>
          <w:rFonts w:eastAsia="Times New Roman"/>
          <w:color w:val="000000"/>
        </w:rPr>
        <w:t>Registration fee: the receipt must be provided when claiming the Travel Grant.</w:t>
      </w:r>
    </w:p>
    <w:p w:rsidR="003E4BB6" w:rsidRDefault="000C010F">
      <w:pPr>
        <w:numPr>
          <w:ilvl w:val="0"/>
          <w:numId w:val="3"/>
        </w:numPr>
        <w:pBdr>
          <w:top w:val="nil"/>
          <w:left w:val="nil"/>
          <w:bottom w:val="nil"/>
          <w:right w:val="nil"/>
          <w:between w:val="nil"/>
        </w:pBdr>
        <w:spacing w:line="300" w:lineRule="auto"/>
        <w:rPr>
          <w:color w:val="000000"/>
        </w:rPr>
      </w:pPr>
      <w:r>
        <w:rPr>
          <w:rFonts w:eastAsia="Times New Roman"/>
          <w:color w:val="000000"/>
        </w:rPr>
        <w:t>Living expenses: the Travel Grant may be used to cover living expenses for the duration of the conference. Amounts are based on the Standards for Per Diem Allowances of the Directorate General of Budget, Accounting and Statistics.</w:t>
      </w:r>
    </w:p>
    <w:p w:rsidR="003E4BB6" w:rsidRDefault="000C010F">
      <w:pPr>
        <w:numPr>
          <w:ilvl w:val="0"/>
          <w:numId w:val="2"/>
        </w:numPr>
        <w:pBdr>
          <w:top w:val="nil"/>
          <w:left w:val="nil"/>
          <w:bottom w:val="nil"/>
          <w:right w:val="nil"/>
          <w:between w:val="nil"/>
        </w:pBdr>
        <w:spacing w:line="300" w:lineRule="auto"/>
        <w:rPr>
          <w:color w:val="000000"/>
        </w:rPr>
      </w:pPr>
      <w:r>
        <w:rPr>
          <w:rFonts w:eastAsia="Times New Roman"/>
          <w:color w:val="000000"/>
        </w:rPr>
        <w:t xml:space="preserve">The Travel Grant will only be awarded to an applicant attending a conference held in mainland China if the organizer is an international organization or international academic association. </w:t>
      </w:r>
    </w:p>
    <w:p w:rsidR="003E4BB6" w:rsidRDefault="003E4BB6">
      <w:pPr>
        <w:tabs>
          <w:tab w:val="left" w:pos="224"/>
        </w:tabs>
        <w:spacing w:line="300" w:lineRule="auto"/>
      </w:pPr>
    </w:p>
    <w:p w:rsidR="003E4BB6" w:rsidRDefault="000C010F">
      <w:pPr>
        <w:spacing w:before="120" w:after="120" w:line="300" w:lineRule="auto"/>
        <w:ind w:left="-425"/>
      </w:pPr>
      <w:r>
        <w:t>Article 5</w:t>
      </w:r>
    </w:p>
    <w:p w:rsidR="003E4BB6" w:rsidRDefault="000C010F">
      <w:pPr>
        <w:spacing w:before="120" w:after="120" w:line="300" w:lineRule="auto"/>
        <w:ind w:left="-425"/>
      </w:pPr>
      <w:r>
        <w:t>A recipient of the Travel Grant must submit a report on the Academic Grants Management System within two week after the conclusion of the conference. A recipient who presented a conference</w:t>
      </w:r>
      <w:r>
        <w:t xml:space="preserve"> paper and listed their institutional affiliation with the University must publish the paper in an indexed academic journal or a journal with a review system in place within three years after the conference. Failure to complete the above will result in the</w:t>
      </w:r>
      <w:r>
        <w:t xml:space="preserve"> recipient’s prohibition from applying for the Travel Grant for a two-year period, effective the date of notification. </w:t>
      </w:r>
    </w:p>
    <w:p w:rsidR="003E4BB6" w:rsidRDefault="003E4BB6" w:rsidP="000C010F">
      <w:pPr>
        <w:spacing w:before="120" w:after="120" w:line="300" w:lineRule="auto"/>
        <w:rPr>
          <w:rFonts w:hint="eastAsia"/>
        </w:rPr>
      </w:pPr>
    </w:p>
    <w:p w:rsidR="003E4BB6" w:rsidRDefault="000C010F">
      <w:pPr>
        <w:spacing w:before="120" w:after="120" w:line="300" w:lineRule="auto"/>
        <w:ind w:left="-425"/>
      </w:pPr>
      <w:r>
        <w:t>Article 6</w:t>
      </w:r>
    </w:p>
    <w:p w:rsidR="003E4BB6" w:rsidRDefault="000C010F">
      <w:pPr>
        <w:spacing w:before="120" w:after="120" w:line="300" w:lineRule="auto"/>
        <w:ind w:left="-425"/>
      </w:pPr>
      <w:r>
        <w:t>If a violation of academic ethics involving the paper presente</w:t>
      </w:r>
      <w:r>
        <w:t>d at the conference is confirmed, the applicant must return the full value of the Travel Grant, and may not reapply for a two-year period, effective the date of notification.</w:t>
      </w:r>
    </w:p>
    <w:p w:rsidR="003E4BB6" w:rsidRPr="000C010F" w:rsidRDefault="003E4BB6" w:rsidP="000C010F">
      <w:pPr>
        <w:spacing w:before="120" w:after="120" w:line="300" w:lineRule="auto"/>
        <w:rPr>
          <w:rFonts w:hint="eastAsia"/>
        </w:rPr>
      </w:pPr>
      <w:bookmarkStart w:id="1" w:name="_GoBack"/>
      <w:bookmarkEnd w:id="1"/>
    </w:p>
    <w:p w:rsidR="003E4BB6" w:rsidRDefault="000C010F">
      <w:pPr>
        <w:spacing w:before="120" w:after="120" w:line="300" w:lineRule="auto"/>
        <w:ind w:left="-425"/>
      </w:pPr>
      <w:r>
        <w:t>Article 7</w:t>
      </w:r>
    </w:p>
    <w:p w:rsidR="003E4BB6" w:rsidRDefault="000C010F">
      <w:pPr>
        <w:spacing w:before="120" w:after="120" w:line="300" w:lineRule="auto"/>
        <w:ind w:left="-425"/>
      </w:pPr>
      <w:r>
        <w:t>The Regulations were passed by the Executi</w:t>
      </w:r>
      <w:r>
        <w:t>ve Council and will be promulgated and implemented after the approval of the President. The same procedure will be followed for each amendment.</w:t>
      </w:r>
    </w:p>
    <w:sectPr w:rsidR="003E4BB6">
      <w:pgSz w:w="11910" w:h="16840"/>
      <w:pgMar w:top="1418" w:right="1418" w:bottom="1418"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460FF"/>
    <w:multiLevelType w:val="multilevel"/>
    <w:tmpl w:val="9F945A24"/>
    <w:lvl w:ilvl="0">
      <w:start w:val="1"/>
      <w:numFmt w:val="decimal"/>
      <w:lvlText w:val="第%1條"/>
      <w:lvlJc w:val="left"/>
      <w:pPr>
        <w:ind w:left="415" w:hanging="840"/>
      </w:pPr>
    </w:lvl>
    <w:lvl w:ilvl="1">
      <w:start w:val="1"/>
      <w:numFmt w:val="decimal"/>
      <w:lvlText w:val="%2、"/>
      <w:lvlJc w:val="left"/>
      <w:pPr>
        <w:ind w:left="535" w:hanging="480"/>
      </w:pPr>
    </w:lvl>
    <w:lvl w:ilvl="2">
      <w:start w:val="1"/>
      <w:numFmt w:val="lowerRoman"/>
      <w:lvlText w:val="%3."/>
      <w:lvlJc w:val="right"/>
      <w:pPr>
        <w:ind w:left="1015" w:hanging="480"/>
      </w:pPr>
    </w:lvl>
    <w:lvl w:ilvl="3">
      <w:start w:val="1"/>
      <w:numFmt w:val="decimal"/>
      <w:lvlText w:val="%4."/>
      <w:lvlJc w:val="left"/>
      <w:pPr>
        <w:ind w:left="1495" w:hanging="480"/>
      </w:pPr>
    </w:lvl>
    <w:lvl w:ilvl="4">
      <w:start w:val="1"/>
      <w:numFmt w:val="decimal"/>
      <w:lvlText w:val="%5、"/>
      <w:lvlJc w:val="left"/>
      <w:pPr>
        <w:ind w:left="1975" w:hanging="480"/>
      </w:pPr>
    </w:lvl>
    <w:lvl w:ilvl="5">
      <w:start w:val="1"/>
      <w:numFmt w:val="lowerRoman"/>
      <w:lvlText w:val="%6."/>
      <w:lvlJc w:val="right"/>
      <w:pPr>
        <w:ind w:left="2455" w:hanging="480"/>
      </w:pPr>
    </w:lvl>
    <w:lvl w:ilvl="6">
      <w:start w:val="1"/>
      <w:numFmt w:val="decimal"/>
      <w:lvlText w:val="%7."/>
      <w:lvlJc w:val="left"/>
      <w:pPr>
        <w:ind w:left="2935" w:hanging="480"/>
      </w:pPr>
    </w:lvl>
    <w:lvl w:ilvl="7">
      <w:start w:val="1"/>
      <w:numFmt w:val="decimal"/>
      <w:lvlText w:val="%8、"/>
      <w:lvlJc w:val="left"/>
      <w:pPr>
        <w:ind w:left="3415" w:hanging="480"/>
      </w:pPr>
    </w:lvl>
    <w:lvl w:ilvl="8">
      <w:start w:val="1"/>
      <w:numFmt w:val="lowerRoman"/>
      <w:lvlText w:val="%9."/>
      <w:lvlJc w:val="right"/>
      <w:pPr>
        <w:ind w:left="3895" w:hanging="480"/>
      </w:pPr>
    </w:lvl>
  </w:abstractNum>
  <w:abstractNum w:abstractNumId="1" w15:restartNumberingAfterBreak="0">
    <w:nsid w:val="18B22B30"/>
    <w:multiLevelType w:val="multilevel"/>
    <w:tmpl w:val="1CF4443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2735666"/>
    <w:multiLevelType w:val="multilevel"/>
    <w:tmpl w:val="A454C27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65594673"/>
    <w:multiLevelType w:val="multilevel"/>
    <w:tmpl w:val="C908F038"/>
    <w:lvl w:ilvl="0">
      <w:start w:val="1"/>
      <w:numFmt w:val="decimal"/>
      <w:lvlText w:val="(%1)"/>
      <w:lvlJc w:val="left"/>
      <w:pPr>
        <w:ind w:left="720" w:hanging="36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BB6"/>
    <w:rsid w:val="000C010F"/>
    <w:rsid w:val="003E4BB6"/>
    <w:rsid w:val="00F169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5CA37"/>
  <w15:docId w15:val="{9A9787CD-9C3E-41D1-9387-E6C61467E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862</Words>
  <Characters>4916</Characters>
  <Application>Microsoft Office Word</Application>
  <DocSecurity>0</DocSecurity>
  <Lines>40</Lines>
  <Paragraphs>11</Paragraphs>
  <ScaleCrop>false</ScaleCrop>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2018-05-29T03:30:00Z</dcterms:created>
  <dcterms:modified xsi:type="dcterms:W3CDTF">2018-05-29T03:32:00Z</dcterms:modified>
</cp:coreProperties>
</file>